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Alrosa Coin – White Paper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Green Earth Powered by Alrosa DePIN Blockchain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Version 1.0 | June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Alrosa Coin is a next-generation cryptocurrency developed on a DePIN (Decentralized Physical Infrastructure Network) blockchain that integrates sustainability, passive income opportunities, and real-world green infrastructure projects. Its primary mission is to empower eco-friendly innovations through decentralized finance and blockchain utility.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Vision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 create a sustainable digital economy by linking crypto assets with green projects, allowing users to invest in a better planet and earn passive income simultaneously.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Mission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 build a scalable, secure, and eco-aligned blockchain ecosystem that: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Funds Green Earth infrastructure projects.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Supports DePIN-powered passive income models.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Empowers users with financial freedom through smart crypto tools.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Blockchain Infrastructure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Network Type: DePIN Blockchain (Custom Layer 1)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Consensus Mechanism: Proof of Stake (PoS)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Token Standard: BEP-20 Compatible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Smart Contracts: Enabled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EcoLink Technology: Connects real-world sustainability efforts with blockchain transactions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Tokenomics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Token Name: Alrosa Coin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Ticker: $ALROSA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Total Supply: 10,000,000,000 (10 Billion)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Decimals: 18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Initial Price: $0.01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Token Allocation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Pre-Sale &amp; Public Sale: 20%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Team &amp; Advisors: 10%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Ecosystem &amp; Community: 20%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Green Projects &amp; Grants: 25%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Staking &amp; Passive Income: 15%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Liquidity Pool &amp; Exchange: 10%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Utility &amp; Use Cases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Staking &amp; Compound Interest: Earn up to 10% compound interest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Green Earth Projects: Invest in eco-friendly infrastructure (vermicompost, goat farming, solar, biogas)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NFT-based land access in eco-villages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DePIN Rewards: Real-world passive income based on physical asset contributions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Security &amp; Storage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Multi-layer smart contract audits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Encrypted, insured digital wallet options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KYC &amp; AML for verified user levels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Launch Offers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$50 Free ID for early adopters (limited time)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- 0.5%–10% compound interest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Anytime principal withdrawal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Onboarding with USDT (BEP-20) and Alrosa Coin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Roadmap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Q2 2025: Launch White Paper, Website, Early Pre-sale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Q3 2025: DePIN Blockchain Launch, Green Project Trials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Q4 2025: Exchange Listings, NFT Integrations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Q1 2026: International Expansion, DAO Launch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Team &amp; Advisors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Alrosa is built by a team of blockchain developers, sustainable development experts, and DeFi strategists with a mission to bring value and ethics together.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Get in Touch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Website: Coming Soon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Email: info@alrosa.live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Location: Russia (Global Expansion 2025–26)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Disclaimer: Cryptocurrency investments carry market risks. Alrosa Coin does not guarantee financial returns. Please conduct your own research (DYOR).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